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81" w:rsidRPr="00212681" w:rsidRDefault="00212681" w:rsidP="00212681">
      <w:pPr>
        <w:spacing w:line="432" w:lineRule="atLeast"/>
        <w:ind w:left="150" w:right="150" w:firstLine="0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12681">
        <w:rPr>
          <w:rFonts w:ascii="Arial" w:eastAsia="Times New Roman" w:hAnsi="Arial" w:cs="Arial"/>
          <w:color w:val="000000"/>
          <w:sz w:val="36"/>
          <w:szCs w:val="36"/>
          <w:lang w:eastAsia="ru-RU"/>
        </w:rPr>
        <w:fldChar w:fldCharType="begin"/>
      </w:r>
      <w:r w:rsidRPr="00212681">
        <w:rPr>
          <w:rFonts w:ascii="Arial" w:eastAsia="Times New Roman" w:hAnsi="Arial" w:cs="Arial"/>
          <w:color w:val="000000"/>
          <w:sz w:val="36"/>
          <w:szCs w:val="36"/>
          <w:lang w:eastAsia="ru-RU"/>
        </w:rPr>
        <w:instrText xml:space="preserve"> HYPERLINK "http://tfomsrk.ru/kak-projti-dispanserizatsiyu" </w:instrText>
      </w:r>
      <w:r w:rsidRPr="00212681">
        <w:rPr>
          <w:rFonts w:ascii="Arial" w:eastAsia="Times New Roman" w:hAnsi="Arial" w:cs="Arial"/>
          <w:color w:val="000000"/>
          <w:sz w:val="36"/>
          <w:szCs w:val="36"/>
          <w:lang w:eastAsia="ru-RU"/>
        </w:rPr>
        <w:fldChar w:fldCharType="separate"/>
      </w:r>
      <w:r w:rsidRPr="00212681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Исследования 1 и 2 этапа диспансеризации</w:t>
      </w:r>
      <w:r w:rsidRPr="00212681">
        <w:rPr>
          <w:rFonts w:ascii="Arial" w:eastAsia="Times New Roman" w:hAnsi="Arial" w:cs="Arial"/>
          <w:color w:val="000000"/>
          <w:sz w:val="36"/>
          <w:szCs w:val="36"/>
          <w:lang w:eastAsia="ru-RU"/>
        </w:rPr>
        <w:fldChar w:fldCharType="end"/>
      </w:r>
    </w:p>
    <w:p w:rsidR="00212681" w:rsidRPr="00212681" w:rsidRDefault="00212681" w:rsidP="00212681">
      <w:pPr>
        <w:ind w:firstLine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F50"/>
          <w:sz w:val="20"/>
          <w:szCs w:val="20"/>
          <w:lang w:eastAsia="ru-RU"/>
        </w:rPr>
        <w:drawing>
          <wp:inline distT="0" distB="0" distL="0" distR="0">
            <wp:extent cx="4895850" cy="1219200"/>
            <wp:effectExtent l="0" t="0" r="0" b="0"/>
            <wp:docPr id="2" name="Рисунок 2" descr="disp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1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681" w:rsidRPr="00212681" w:rsidRDefault="00212681" w:rsidP="00212681">
      <w:pPr>
        <w:spacing w:line="341" w:lineRule="atLeast"/>
        <w:ind w:left="75" w:right="75" w:firstLine="0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212681" w:rsidRPr="00212681" w:rsidRDefault="00212681" w:rsidP="00212681">
      <w:pPr>
        <w:spacing w:line="341" w:lineRule="atLeast"/>
        <w:ind w:firstLine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03F50"/>
          <w:sz w:val="20"/>
          <w:szCs w:val="20"/>
          <w:lang w:eastAsia="ru-RU"/>
        </w:rPr>
        <w:drawing>
          <wp:inline distT="0" distB="0" distL="0" distR="0" wp14:anchorId="016563FD" wp14:editId="29B97FA2">
            <wp:extent cx="4895850" cy="4686300"/>
            <wp:effectExtent l="0" t="0" r="0" b="0"/>
            <wp:docPr id="1" name="Рисунок 1" descr="disp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p1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681">
        <w:rPr>
          <w:rFonts w:ascii="Arial" w:eastAsia="Times New Roman" w:hAnsi="Arial" w:cs="Arial"/>
          <w:color w:val="303F50"/>
          <w:sz w:val="20"/>
          <w:szCs w:val="20"/>
          <w:lang w:eastAsia="ru-RU"/>
        </w:rPr>
        <w:br w:type="textWrapping" w:clear="all"/>
      </w:r>
      <w:bookmarkStart w:id="0" w:name="_GoBack"/>
      <w:bookmarkEnd w:id="0"/>
      <w:r w:rsidRPr="0021268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Первый этап диспансеризации включает:</w:t>
      </w:r>
    </w:p>
    <w:p w:rsidR="00212681" w:rsidRPr="00212681" w:rsidRDefault="00212681" w:rsidP="00212681">
      <w:pPr>
        <w:spacing w:before="195" w:after="195" w:line="341" w:lineRule="atLeast"/>
        <w:ind w:left="75" w:right="75" w:firstLine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212681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1. Флюорографию (1 раз в 2 года)</w:t>
      </w:r>
    </w:p>
    <w:p w:rsidR="00212681" w:rsidRPr="00212681" w:rsidRDefault="00212681" w:rsidP="00212681">
      <w:pPr>
        <w:spacing w:before="195" w:after="195" w:line="341" w:lineRule="atLeast"/>
        <w:ind w:left="75" w:right="75" w:firstLine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212681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2. Опрос (анкетирование)</w:t>
      </w:r>
    </w:p>
    <w:p w:rsidR="00212681" w:rsidRPr="00212681" w:rsidRDefault="00212681" w:rsidP="00212681">
      <w:pPr>
        <w:spacing w:before="195" w:after="195" w:line="341" w:lineRule="atLeast"/>
        <w:ind w:left="75" w:right="75" w:firstLine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212681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3. Антропометрию (измеряются рост, вес, обхват талии)</w:t>
      </w:r>
    </w:p>
    <w:p w:rsidR="00212681" w:rsidRPr="00212681" w:rsidRDefault="00212681" w:rsidP="00212681">
      <w:pPr>
        <w:spacing w:before="195" w:after="195" w:line="341" w:lineRule="atLeast"/>
        <w:ind w:left="75" w:right="75" w:firstLine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212681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4. Измерение артериального давления</w:t>
      </w:r>
    </w:p>
    <w:p w:rsidR="00212681" w:rsidRPr="00212681" w:rsidRDefault="00212681" w:rsidP="00212681">
      <w:pPr>
        <w:spacing w:before="195" w:after="195" w:line="341" w:lineRule="atLeast"/>
        <w:ind w:left="75" w:right="75" w:firstLine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212681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5. Общий анализ крови (гемоглобин, лейкоциты, СОЭ) — с 40 лет</w:t>
      </w:r>
    </w:p>
    <w:p w:rsidR="00212681" w:rsidRPr="00212681" w:rsidRDefault="00212681" w:rsidP="00212681">
      <w:pPr>
        <w:spacing w:before="195" w:after="195" w:line="341" w:lineRule="atLeast"/>
        <w:ind w:left="75" w:right="75" w:firstLine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212681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6. Анализ крови на общий холестерин</w:t>
      </w:r>
    </w:p>
    <w:p w:rsidR="00212681" w:rsidRPr="00212681" w:rsidRDefault="00212681" w:rsidP="00212681">
      <w:pPr>
        <w:spacing w:before="195" w:after="195" w:line="341" w:lineRule="atLeast"/>
        <w:ind w:left="75" w:right="75" w:firstLine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212681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7. Анализ крови на глюкозу</w:t>
      </w:r>
    </w:p>
    <w:p w:rsidR="00212681" w:rsidRPr="00212681" w:rsidRDefault="00212681" w:rsidP="00212681">
      <w:pPr>
        <w:spacing w:before="195" w:after="195" w:line="341" w:lineRule="atLeast"/>
        <w:ind w:left="75" w:right="75" w:firstLine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212681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8. Определение </w:t>
      </w:r>
      <w:proofErr w:type="gramStart"/>
      <w:r w:rsidRPr="00212681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сердечно-сосудистого</w:t>
      </w:r>
      <w:proofErr w:type="gramEnd"/>
      <w:r w:rsidRPr="00212681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риска (относительного — с 18 до 39 лет, абсолютного — с 40 до 64 лет), рисков хронических болезней</w:t>
      </w:r>
    </w:p>
    <w:p w:rsidR="00212681" w:rsidRPr="00212681" w:rsidRDefault="00212681" w:rsidP="00212681">
      <w:pPr>
        <w:spacing w:before="195" w:after="195" w:line="341" w:lineRule="atLeast"/>
        <w:ind w:left="75" w:right="75" w:firstLine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212681">
        <w:rPr>
          <w:rFonts w:ascii="Arial" w:eastAsia="Times New Roman" w:hAnsi="Arial" w:cs="Arial"/>
          <w:color w:val="303F50"/>
          <w:sz w:val="20"/>
          <w:szCs w:val="20"/>
          <w:lang w:eastAsia="ru-RU"/>
        </w:rPr>
        <w:lastRenderedPageBreak/>
        <w:t>9. Измерение внутриглазного давления (при первом прохождении медосмотра, ежегодно — с 40 лет)</w:t>
      </w:r>
    </w:p>
    <w:p w:rsidR="00212681" w:rsidRPr="00212681" w:rsidRDefault="00212681" w:rsidP="00212681">
      <w:pPr>
        <w:spacing w:before="195" w:after="195" w:line="341" w:lineRule="atLeast"/>
        <w:ind w:left="75" w:right="75" w:firstLine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212681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10. ЭКГ (при первом прохождении медосмотра, ежегодно — с 35 лет)</w:t>
      </w:r>
    </w:p>
    <w:p w:rsidR="00212681" w:rsidRPr="00212681" w:rsidRDefault="00212681" w:rsidP="00212681">
      <w:pPr>
        <w:spacing w:before="195" w:after="195" w:line="341" w:lineRule="atLeast"/>
        <w:ind w:left="75" w:right="75" w:firstLine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212681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11. Исследование кала на скрытую кровь (с 40 лет – 1 раз в 2 года, с 65 до 75 лет включительно – ежегодно) </w:t>
      </w:r>
      <w:r w:rsidRPr="00212681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(на выявление рака кишечника)</w:t>
      </w:r>
    </w:p>
    <w:p w:rsidR="00212681" w:rsidRPr="00212681" w:rsidRDefault="00212681" w:rsidP="00212681">
      <w:pPr>
        <w:spacing w:before="195" w:after="195" w:line="341" w:lineRule="atLeast"/>
        <w:ind w:left="75" w:right="75" w:firstLine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212681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12. ФГС – в 45 лет </w:t>
      </w:r>
      <w:r w:rsidRPr="00212681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(на выявление рака пищевода, желудка)</w:t>
      </w:r>
    </w:p>
    <w:p w:rsidR="00212681" w:rsidRPr="00212681" w:rsidRDefault="00212681" w:rsidP="00212681">
      <w:pPr>
        <w:spacing w:before="195" w:after="195" w:line="341" w:lineRule="atLeast"/>
        <w:ind w:left="75" w:right="75" w:firstLine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212681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13. Осмотр гинекологом и цитологическое исследование мазка (с 18 до 64 лет включительно — 1 раз в 3 года) </w:t>
      </w:r>
      <w:r w:rsidRPr="00212681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(на выявление рака шейки матки у женщин)</w:t>
      </w:r>
    </w:p>
    <w:p w:rsidR="00212681" w:rsidRPr="00212681" w:rsidRDefault="00212681" w:rsidP="00212681">
      <w:pPr>
        <w:spacing w:before="195" w:after="195" w:line="341" w:lineRule="atLeast"/>
        <w:ind w:left="75" w:right="75" w:firstLine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212681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14. Маммографию (с 40 до 75 лет включительно — 1 раз в 2 года) </w:t>
      </w:r>
      <w:r w:rsidRPr="00212681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(на выявление рака молочной железы у женщин)</w:t>
      </w:r>
    </w:p>
    <w:p w:rsidR="00212681" w:rsidRPr="00212681" w:rsidRDefault="00212681" w:rsidP="00212681">
      <w:pPr>
        <w:spacing w:before="195" w:after="195" w:line="341" w:lineRule="atLeast"/>
        <w:ind w:left="75" w:right="75" w:firstLine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212681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15. Определение </w:t>
      </w:r>
      <w:proofErr w:type="gramStart"/>
      <w:r w:rsidRPr="00212681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простат-специфического</w:t>
      </w:r>
      <w:proofErr w:type="gramEnd"/>
      <w:r w:rsidRPr="00212681">
        <w:rPr>
          <w:rFonts w:ascii="Arial" w:eastAsia="Times New Roman" w:hAnsi="Arial" w:cs="Arial"/>
          <w:color w:val="303F50"/>
          <w:sz w:val="20"/>
          <w:szCs w:val="20"/>
          <w:lang w:eastAsia="ru-RU"/>
        </w:rPr>
        <w:t xml:space="preserve"> антигена в крови (в 45, 50, 55, 60, 64 года) </w:t>
      </w:r>
      <w:r w:rsidRPr="00212681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(на выявление рака предстательной железы у мужчин)</w:t>
      </w:r>
    </w:p>
    <w:p w:rsidR="00212681" w:rsidRPr="00212681" w:rsidRDefault="00212681" w:rsidP="00212681">
      <w:pPr>
        <w:spacing w:before="195" w:after="195" w:line="341" w:lineRule="atLeast"/>
        <w:ind w:left="75" w:right="75" w:firstLine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212681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16. Осмотр кожных покровов, слизистых губ и ротовой полости, пальпацию щитовидной железы и лимфоузлов </w:t>
      </w:r>
      <w:r w:rsidRPr="00212681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(на выявление визуальных и иных локализаций онкологических заболеваний – в любом возрасте при каждом осмотре)</w:t>
      </w:r>
    </w:p>
    <w:p w:rsidR="00212681" w:rsidRPr="00212681" w:rsidRDefault="00212681" w:rsidP="00212681">
      <w:pPr>
        <w:spacing w:before="195" w:after="195" w:line="341" w:lineRule="atLeast"/>
        <w:ind w:left="75" w:right="75" w:firstLine="0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212681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17. Консультацию специалиста профилактического отделения и терапевта.</w:t>
      </w:r>
    </w:p>
    <w:p w:rsidR="005127BE" w:rsidRDefault="005127BE"/>
    <w:sectPr w:rsidR="005127BE" w:rsidSect="002126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81"/>
    <w:rsid w:val="00212681"/>
    <w:rsid w:val="005127BE"/>
    <w:rsid w:val="00C2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2681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681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2681"/>
    <w:rPr>
      <w:color w:val="0000FF"/>
      <w:u w:val="single"/>
    </w:rPr>
  </w:style>
  <w:style w:type="character" w:customStyle="1" w:styleId="art-postdateicon">
    <w:name w:val="art-postdateicon"/>
    <w:basedOn w:val="a0"/>
    <w:rsid w:val="00212681"/>
  </w:style>
  <w:style w:type="paragraph" w:styleId="a4">
    <w:name w:val="Normal (Web)"/>
    <w:basedOn w:val="a"/>
    <w:uiPriority w:val="99"/>
    <w:semiHidden/>
    <w:unhideWhenUsed/>
    <w:rsid w:val="0021268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2681"/>
    <w:rPr>
      <w:b/>
      <w:bCs/>
    </w:rPr>
  </w:style>
  <w:style w:type="character" w:customStyle="1" w:styleId="3">
    <w:name w:val="3"/>
    <w:basedOn w:val="a0"/>
    <w:rsid w:val="00212681"/>
  </w:style>
  <w:style w:type="paragraph" w:styleId="a6">
    <w:name w:val="Balloon Text"/>
    <w:basedOn w:val="a"/>
    <w:link w:val="a7"/>
    <w:uiPriority w:val="99"/>
    <w:semiHidden/>
    <w:unhideWhenUsed/>
    <w:rsid w:val="002126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2681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681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2681"/>
    <w:rPr>
      <w:color w:val="0000FF"/>
      <w:u w:val="single"/>
    </w:rPr>
  </w:style>
  <w:style w:type="character" w:customStyle="1" w:styleId="art-postdateicon">
    <w:name w:val="art-postdateicon"/>
    <w:basedOn w:val="a0"/>
    <w:rsid w:val="00212681"/>
  </w:style>
  <w:style w:type="paragraph" w:styleId="a4">
    <w:name w:val="Normal (Web)"/>
    <w:basedOn w:val="a"/>
    <w:uiPriority w:val="99"/>
    <w:semiHidden/>
    <w:unhideWhenUsed/>
    <w:rsid w:val="0021268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2681"/>
    <w:rPr>
      <w:b/>
      <w:bCs/>
    </w:rPr>
  </w:style>
  <w:style w:type="character" w:customStyle="1" w:styleId="3">
    <w:name w:val="3"/>
    <w:basedOn w:val="a0"/>
    <w:rsid w:val="00212681"/>
  </w:style>
  <w:style w:type="paragraph" w:styleId="a6">
    <w:name w:val="Balloon Text"/>
    <w:basedOn w:val="a"/>
    <w:link w:val="a7"/>
    <w:uiPriority w:val="99"/>
    <w:semiHidden/>
    <w:unhideWhenUsed/>
    <w:rsid w:val="002126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14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2019-10-31T13:44:00Z</dcterms:created>
  <dcterms:modified xsi:type="dcterms:W3CDTF">2019-10-31T13:47:00Z</dcterms:modified>
</cp:coreProperties>
</file>